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7E" w:rsidRDefault="0079487E" w:rsidP="006214FB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b/>
          <w:color w:val="494949"/>
          <w:sz w:val="21"/>
          <w:szCs w:val="21"/>
          <w:lang w:eastAsia="sk-SK"/>
        </w:rPr>
      </w:pPr>
    </w:p>
    <w:p w:rsidR="0079487E" w:rsidRDefault="0079487E" w:rsidP="006214FB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b/>
          <w:color w:val="494949"/>
          <w:sz w:val="21"/>
          <w:szCs w:val="21"/>
          <w:lang w:eastAsia="sk-SK"/>
        </w:rPr>
      </w:pPr>
    </w:p>
    <w:p w:rsidR="0079487E" w:rsidRDefault="0079487E" w:rsidP="006214FB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b/>
          <w:color w:val="494949"/>
          <w:sz w:val="21"/>
          <w:szCs w:val="21"/>
          <w:lang w:eastAsia="sk-SK"/>
        </w:rPr>
      </w:pPr>
    </w:p>
    <w:p w:rsidR="0079487E" w:rsidRDefault="0079487E" w:rsidP="006214FB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b/>
          <w:color w:val="494949"/>
          <w:sz w:val="21"/>
          <w:szCs w:val="21"/>
          <w:lang w:eastAsia="sk-SK"/>
        </w:rPr>
      </w:pPr>
    </w:p>
    <w:p w:rsidR="0079487E" w:rsidRDefault="0079487E" w:rsidP="006214FB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b/>
          <w:color w:val="494949"/>
          <w:sz w:val="21"/>
          <w:szCs w:val="21"/>
          <w:lang w:eastAsia="sk-SK"/>
        </w:rPr>
      </w:pPr>
    </w:p>
    <w:p w:rsidR="00644540" w:rsidRPr="006214FB" w:rsidRDefault="006214FB" w:rsidP="006214FB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b/>
          <w:color w:val="494949"/>
          <w:sz w:val="21"/>
          <w:szCs w:val="21"/>
          <w:lang w:eastAsia="sk-SK"/>
        </w:rPr>
      </w:pPr>
      <w:r w:rsidRPr="006214FB">
        <w:rPr>
          <w:rFonts w:ascii="Segoe UI" w:eastAsia="Times New Roman" w:hAnsi="Segoe UI" w:cs="Segoe UI"/>
          <w:b/>
          <w:color w:val="494949"/>
          <w:sz w:val="21"/>
          <w:szCs w:val="21"/>
          <w:lang w:eastAsia="sk-SK"/>
        </w:rPr>
        <w:t>Ekonomicky oprávnené náklady Denného stacionára MIŠKO v roku 2021</w:t>
      </w:r>
    </w:p>
    <w:p w:rsidR="00644540" w:rsidRDefault="00644540" w:rsidP="004E541B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</w:p>
    <w:p w:rsidR="0079487E" w:rsidRDefault="0079487E" w:rsidP="004E541B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</w:p>
    <w:tbl>
      <w:tblPr>
        <w:tblW w:w="922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9"/>
        <w:gridCol w:w="2906"/>
      </w:tblGrid>
      <w:tr w:rsidR="00644540" w:rsidTr="00D2693D">
        <w:trPr>
          <w:trHeight w:val="578"/>
        </w:trPr>
        <w:tc>
          <w:tcPr>
            <w:tcW w:w="6319" w:type="dxa"/>
          </w:tcPr>
          <w:p w:rsidR="00644540" w:rsidRPr="00D2693D" w:rsidRDefault="00644540" w:rsidP="00644540">
            <w:pPr>
              <w:shd w:val="clear" w:color="auto" w:fill="FFFFFF"/>
              <w:spacing w:line="240" w:lineRule="auto"/>
              <w:jc w:val="both"/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</w:pPr>
            <w:r w:rsidRPr="00D2693D"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  <w:t xml:space="preserve">mzdy, platy a ostatné osobné vyrovnania vo výške, ktorá   zodpovedá výške platu a ostatných osobných vyrovnaní podľa osobitného predpisu </w:t>
            </w:r>
          </w:p>
        </w:tc>
        <w:tc>
          <w:tcPr>
            <w:tcW w:w="2906" w:type="dxa"/>
          </w:tcPr>
          <w:p w:rsidR="00644540" w:rsidRDefault="00AA1B9B" w:rsidP="00BC0402">
            <w:pPr>
              <w:jc w:val="center"/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</w:pPr>
            <w:r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  <w:t>85 511,60</w:t>
            </w:r>
          </w:p>
          <w:p w:rsidR="00644540" w:rsidRDefault="00644540" w:rsidP="00BC0402">
            <w:pPr>
              <w:shd w:val="clear" w:color="auto" w:fill="FFFFFF"/>
              <w:spacing w:line="240" w:lineRule="auto"/>
              <w:ind w:left="82"/>
              <w:jc w:val="center"/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</w:pPr>
          </w:p>
        </w:tc>
      </w:tr>
      <w:tr w:rsidR="00644540" w:rsidTr="00D2693D">
        <w:trPr>
          <w:trHeight w:val="786"/>
        </w:trPr>
        <w:tc>
          <w:tcPr>
            <w:tcW w:w="6319" w:type="dxa"/>
          </w:tcPr>
          <w:p w:rsidR="00644540" w:rsidRPr="00D2693D" w:rsidRDefault="00644540" w:rsidP="00644540">
            <w:pPr>
              <w:shd w:val="clear" w:color="auto" w:fill="FFFFFF"/>
              <w:spacing w:line="240" w:lineRule="auto"/>
              <w:ind w:left="82"/>
              <w:jc w:val="both"/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</w:pPr>
            <w:r w:rsidRPr="00D2693D"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  <w:t xml:space="preserve"> poistné na verejné zdravotné poistenie, poistné na sociálne poistenie a povinné príspevky na starobné dôchodkové sporenie platené zamestnávateľom </w:t>
            </w:r>
          </w:p>
        </w:tc>
        <w:tc>
          <w:tcPr>
            <w:tcW w:w="2906" w:type="dxa"/>
          </w:tcPr>
          <w:p w:rsidR="00644540" w:rsidRDefault="00AA1B9B" w:rsidP="00BC0402">
            <w:pPr>
              <w:shd w:val="clear" w:color="auto" w:fill="FFFFFF"/>
              <w:spacing w:line="240" w:lineRule="auto"/>
              <w:ind w:left="82"/>
              <w:jc w:val="center"/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</w:pPr>
            <w:r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  <w:t>29 724,64</w:t>
            </w:r>
          </w:p>
        </w:tc>
      </w:tr>
      <w:tr w:rsidR="00644540" w:rsidTr="00D2693D">
        <w:trPr>
          <w:trHeight w:val="326"/>
        </w:trPr>
        <w:tc>
          <w:tcPr>
            <w:tcW w:w="6319" w:type="dxa"/>
          </w:tcPr>
          <w:p w:rsidR="00644540" w:rsidRPr="00D2693D" w:rsidRDefault="00644540" w:rsidP="00644540">
            <w:pPr>
              <w:shd w:val="clear" w:color="auto" w:fill="FFFFFF"/>
              <w:spacing w:line="240" w:lineRule="auto"/>
              <w:ind w:left="82"/>
              <w:jc w:val="both"/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</w:pPr>
            <w:r w:rsidRPr="00D2693D"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  <w:t>tuzemské cestovné náhrady</w:t>
            </w:r>
          </w:p>
        </w:tc>
        <w:tc>
          <w:tcPr>
            <w:tcW w:w="2906" w:type="dxa"/>
          </w:tcPr>
          <w:p w:rsidR="00644540" w:rsidRDefault="00644540" w:rsidP="00BC0402">
            <w:pPr>
              <w:jc w:val="center"/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</w:pPr>
          </w:p>
          <w:p w:rsidR="00644540" w:rsidRPr="004E541B" w:rsidRDefault="00D2693D" w:rsidP="00BC0402">
            <w:pPr>
              <w:shd w:val="clear" w:color="auto" w:fill="FFFFFF"/>
              <w:spacing w:line="240" w:lineRule="auto"/>
              <w:ind w:left="82"/>
              <w:jc w:val="center"/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</w:pPr>
            <w:r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  <w:t>0</w:t>
            </w:r>
          </w:p>
        </w:tc>
      </w:tr>
      <w:tr w:rsidR="00644540" w:rsidTr="00D2693D">
        <w:trPr>
          <w:trHeight w:val="450"/>
        </w:trPr>
        <w:tc>
          <w:tcPr>
            <w:tcW w:w="6319" w:type="dxa"/>
          </w:tcPr>
          <w:p w:rsidR="00644540" w:rsidRPr="00D2693D" w:rsidRDefault="00644540" w:rsidP="00644540">
            <w:pPr>
              <w:shd w:val="clear" w:color="auto" w:fill="FFFFFF"/>
              <w:spacing w:line="240" w:lineRule="auto"/>
              <w:ind w:left="82"/>
              <w:jc w:val="both"/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</w:pPr>
            <w:r w:rsidRPr="00D2693D"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  <w:t>výdavky na energie, vodu a komunikácie</w:t>
            </w:r>
          </w:p>
        </w:tc>
        <w:tc>
          <w:tcPr>
            <w:tcW w:w="2906" w:type="dxa"/>
          </w:tcPr>
          <w:p w:rsidR="00644540" w:rsidRDefault="00D2693D" w:rsidP="00BC0402">
            <w:pPr>
              <w:jc w:val="center"/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</w:pPr>
            <w:r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  <w:t>1 399,66</w:t>
            </w:r>
          </w:p>
          <w:p w:rsidR="00644540" w:rsidRDefault="00644540" w:rsidP="00BC0402">
            <w:pPr>
              <w:shd w:val="clear" w:color="auto" w:fill="FFFFFF"/>
              <w:spacing w:line="240" w:lineRule="auto"/>
              <w:ind w:left="82"/>
              <w:jc w:val="center"/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</w:pPr>
          </w:p>
        </w:tc>
      </w:tr>
      <w:tr w:rsidR="00644540" w:rsidTr="00D2693D">
        <w:trPr>
          <w:trHeight w:val="420"/>
        </w:trPr>
        <w:tc>
          <w:tcPr>
            <w:tcW w:w="6319" w:type="dxa"/>
          </w:tcPr>
          <w:p w:rsidR="00644540" w:rsidRPr="00D2693D" w:rsidRDefault="00644540" w:rsidP="00644540">
            <w:pPr>
              <w:shd w:val="clear" w:color="auto" w:fill="FFFFFF"/>
              <w:spacing w:line="240" w:lineRule="auto"/>
              <w:ind w:left="82"/>
              <w:jc w:val="both"/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</w:pPr>
            <w:r w:rsidRPr="00D2693D"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  <w:t>výdavky na materiál okrem reprezentačného vybavenia nových interiérov</w:t>
            </w:r>
          </w:p>
        </w:tc>
        <w:tc>
          <w:tcPr>
            <w:tcW w:w="2906" w:type="dxa"/>
          </w:tcPr>
          <w:p w:rsidR="00644540" w:rsidRPr="004E541B" w:rsidRDefault="00AA1B9B" w:rsidP="00BC0402">
            <w:pPr>
              <w:shd w:val="clear" w:color="auto" w:fill="FFFFFF"/>
              <w:spacing w:line="240" w:lineRule="auto"/>
              <w:ind w:left="82"/>
              <w:jc w:val="center"/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</w:pPr>
            <w:r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  <w:t>1 492,34</w:t>
            </w:r>
          </w:p>
        </w:tc>
      </w:tr>
      <w:tr w:rsidR="00644540" w:rsidTr="00D2693D">
        <w:trPr>
          <w:trHeight w:val="435"/>
        </w:trPr>
        <w:tc>
          <w:tcPr>
            <w:tcW w:w="6319" w:type="dxa"/>
          </w:tcPr>
          <w:p w:rsidR="00644540" w:rsidRPr="00D2693D" w:rsidRDefault="00644540" w:rsidP="00644540">
            <w:pPr>
              <w:shd w:val="clear" w:color="auto" w:fill="FFFFFF"/>
              <w:spacing w:line="240" w:lineRule="auto"/>
              <w:ind w:left="82"/>
              <w:jc w:val="both"/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</w:pPr>
            <w:r w:rsidRPr="00D2693D"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  <w:t>dopravné</w:t>
            </w:r>
          </w:p>
        </w:tc>
        <w:tc>
          <w:tcPr>
            <w:tcW w:w="2906" w:type="dxa"/>
          </w:tcPr>
          <w:p w:rsidR="00644540" w:rsidRDefault="00644540" w:rsidP="00BC0402">
            <w:pPr>
              <w:jc w:val="center"/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</w:pPr>
          </w:p>
          <w:p w:rsidR="00644540" w:rsidRPr="004E541B" w:rsidRDefault="00D2693D" w:rsidP="00BC0402">
            <w:pPr>
              <w:shd w:val="clear" w:color="auto" w:fill="FFFFFF"/>
              <w:spacing w:line="240" w:lineRule="auto"/>
              <w:ind w:left="82"/>
              <w:jc w:val="center"/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</w:pPr>
            <w:r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  <w:t>0</w:t>
            </w:r>
          </w:p>
        </w:tc>
      </w:tr>
      <w:tr w:rsidR="00644540" w:rsidTr="00D2693D">
        <w:trPr>
          <w:trHeight w:val="547"/>
        </w:trPr>
        <w:tc>
          <w:tcPr>
            <w:tcW w:w="6319" w:type="dxa"/>
          </w:tcPr>
          <w:p w:rsidR="00644540" w:rsidRPr="00D2693D" w:rsidRDefault="00644540" w:rsidP="00644540">
            <w:pPr>
              <w:shd w:val="clear" w:color="auto" w:fill="FFFFFF"/>
              <w:spacing w:line="240" w:lineRule="auto"/>
              <w:ind w:left="82"/>
              <w:jc w:val="both"/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</w:pPr>
            <w:r w:rsidRPr="00D2693D"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  <w:t>výdavky na rutinnú údržbu a štandardnú údržbu okrem jednorazovej údržby objektov alebo ich častí a riešenia havarijných stavov</w:t>
            </w:r>
          </w:p>
        </w:tc>
        <w:tc>
          <w:tcPr>
            <w:tcW w:w="2906" w:type="dxa"/>
          </w:tcPr>
          <w:p w:rsidR="00644540" w:rsidRDefault="00AA1B9B" w:rsidP="00BC0402">
            <w:pPr>
              <w:shd w:val="clear" w:color="auto" w:fill="FFFFFF"/>
              <w:spacing w:line="240" w:lineRule="auto"/>
              <w:ind w:left="82"/>
              <w:jc w:val="center"/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</w:pPr>
            <w:r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  <w:t>1 437,30</w:t>
            </w:r>
          </w:p>
        </w:tc>
      </w:tr>
      <w:tr w:rsidR="00644540" w:rsidTr="00D2693D">
        <w:trPr>
          <w:trHeight w:val="1138"/>
        </w:trPr>
        <w:tc>
          <w:tcPr>
            <w:tcW w:w="6319" w:type="dxa"/>
          </w:tcPr>
          <w:p w:rsidR="00644540" w:rsidRPr="00D2693D" w:rsidRDefault="00644540" w:rsidP="00644540">
            <w:pPr>
              <w:shd w:val="clear" w:color="auto" w:fill="FFFFFF"/>
              <w:spacing w:line="240" w:lineRule="auto"/>
              <w:ind w:left="82"/>
              <w:jc w:val="both"/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</w:pPr>
            <w:r w:rsidRPr="00D2693D"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  <w:t>nájomné za prenájom nehnuteľnosti alebo inej veci okrem dopravných prostriedkov a špeciálnych strojov, prístrojov, zariadení, techniky, náradia a materiálu najviac vo výške obvyklého nájomného, za aké sa v tom čase a na tom mieste prenechávajú do nájmu na dohodnutý účel veci toho istého druhu alebo porovnateľné veci</w:t>
            </w:r>
          </w:p>
        </w:tc>
        <w:tc>
          <w:tcPr>
            <w:tcW w:w="2906" w:type="dxa"/>
          </w:tcPr>
          <w:p w:rsidR="00644540" w:rsidRPr="004E541B" w:rsidRDefault="00D2693D" w:rsidP="00BC0402">
            <w:pPr>
              <w:shd w:val="clear" w:color="auto" w:fill="FFFFFF"/>
              <w:spacing w:line="240" w:lineRule="auto"/>
              <w:ind w:left="82"/>
              <w:jc w:val="center"/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</w:pPr>
            <w:r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  <w:t>4</w:t>
            </w:r>
            <w:r w:rsidR="00AA1B9B"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  <w:t> </w:t>
            </w:r>
            <w:r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  <w:t>800</w:t>
            </w:r>
            <w:r w:rsidR="00AA1B9B"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  <w:t>,00</w:t>
            </w:r>
          </w:p>
        </w:tc>
      </w:tr>
      <w:tr w:rsidR="00644540" w:rsidTr="00AA1B9B">
        <w:trPr>
          <w:trHeight w:val="397"/>
        </w:trPr>
        <w:tc>
          <w:tcPr>
            <w:tcW w:w="6319" w:type="dxa"/>
          </w:tcPr>
          <w:p w:rsidR="00644540" w:rsidRPr="00D2693D" w:rsidRDefault="00644540" w:rsidP="00FB4EA9">
            <w:pPr>
              <w:shd w:val="clear" w:color="auto" w:fill="FFFFFF"/>
              <w:spacing w:line="240" w:lineRule="auto"/>
              <w:ind w:left="82"/>
              <w:jc w:val="both"/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</w:pPr>
            <w:r w:rsidRPr="00D2693D"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  <w:t>výdavky na služby</w:t>
            </w:r>
          </w:p>
        </w:tc>
        <w:tc>
          <w:tcPr>
            <w:tcW w:w="2906" w:type="dxa"/>
          </w:tcPr>
          <w:p w:rsidR="00644540" w:rsidRPr="004E541B" w:rsidRDefault="00AA1B9B" w:rsidP="00AA1B9B">
            <w:pPr>
              <w:shd w:val="clear" w:color="auto" w:fill="FFFFFF"/>
              <w:spacing w:line="240" w:lineRule="auto"/>
              <w:ind w:left="82"/>
              <w:jc w:val="center"/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</w:pPr>
            <w:r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  <w:t>4 612,97</w:t>
            </w:r>
          </w:p>
        </w:tc>
      </w:tr>
      <w:tr w:rsidR="00644540" w:rsidTr="00D2693D">
        <w:trPr>
          <w:trHeight w:val="627"/>
        </w:trPr>
        <w:tc>
          <w:tcPr>
            <w:tcW w:w="6319" w:type="dxa"/>
          </w:tcPr>
          <w:p w:rsidR="00644540" w:rsidRPr="00D2693D" w:rsidRDefault="00644540" w:rsidP="00644540">
            <w:pPr>
              <w:shd w:val="clear" w:color="auto" w:fill="FFFFFF"/>
              <w:spacing w:line="240" w:lineRule="auto"/>
              <w:ind w:left="82"/>
              <w:jc w:val="both"/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</w:pPr>
            <w:r w:rsidRPr="00D2693D"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  <w:t xml:space="preserve">výdavky na bežné transfery v rozsahu vreckového podľa osobitného predpisu, odstupného ,odchodného, náhrady príjmu pri dočasnej pracovnej neschopnosti zamestnanca podľa osobitného predpisu </w:t>
            </w:r>
          </w:p>
        </w:tc>
        <w:tc>
          <w:tcPr>
            <w:tcW w:w="2906" w:type="dxa"/>
          </w:tcPr>
          <w:p w:rsidR="00644540" w:rsidRDefault="00E569E2" w:rsidP="00BC0402">
            <w:pPr>
              <w:shd w:val="clear" w:color="auto" w:fill="FFFFFF"/>
              <w:spacing w:line="240" w:lineRule="auto"/>
              <w:ind w:left="82"/>
              <w:jc w:val="center"/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</w:pPr>
            <w:r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  <w:t>856,62</w:t>
            </w:r>
          </w:p>
        </w:tc>
      </w:tr>
      <w:tr w:rsidR="00644540" w:rsidTr="00D2693D">
        <w:trPr>
          <w:trHeight w:val="1706"/>
        </w:trPr>
        <w:tc>
          <w:tcPr>
            <w:tcW w:w="6319" w:type="dxa"/>
          </w:tcPr>
          <w:p w:rsidR="00644540" w:rsidRPr="00D2693D" w:rsidRDefault="00644540" w:rsidP="00644540">
            <w:pPr>
              <w:shd w:val="clear" w:color="auto" w:fill="FFFFFF"/>
              <w:spacing w:line="240" w:lineRule="auto"/>
              <w:ind w:left="82"/>
              <w:jc w:val="both"/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</w:pPr>
            <w:r w:rsidRPr="00D2693D"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  <w:t>odpisy hmotného majetku a nehmotného majetku podľa účtovných predpisov, o ktorom poskytovateľ sociálnej služby účtuje a odpisuje ho ako účtovná jednotka;</w:t>
            </w:r>
            <w:hyperlink r:id="rId6" w:anchor="poznamky.poznamka-33c" w:tooltip="Odkaz na predpis alebo ustanovenie" w:history="1"/>
            <w:r w:rsidRPr="00D2693D">
              <w:rPr>
                <w:rFonts w:ascii="Segoe UI" w:eastAsia="Times New Roman" w:hAnsi="Segoe UI" w:cs="Segoe UI"/>
                <w:color w:val="494949"/>
                <w:sz w:val="16"/>
                <w:szCs w:val="16"/>
                <w:lang w:eastAsia="sk-SK"/>
              </w:rPr>
              <w:t> odpis hmotného majetku, ktorým sú novoobstarané stavby, byty a nebytové priestory užívané na účely poskytovania sociálnych služieb v zariadeniach alebo ich technické zhodnotenie, najviac vo výške obvyklého nájomného, za aké sa v tom čase a na tom mieste prenechávajú do nájmu na dohodnutý účel veci toho istého druhu alebo porovnateľné veci</w:t>
            </w:r>
          </w:p>
        </w:tc>
        <w:tc>
          <w:tcPr>
            <w:tcW w:w="2906" w:type="dxa"/>
          </w:tcPr>
          <w:p w:rsidR="00644540" w:rsidRPr="004E541B" w:rsidRDefault="00E569E2" w:rsidP="00BC0402">
            <w:pPr>
              <w:shd w:val="clear" w:color="auto" w:fill="FFFFFF"/>
              <w:spacing w:line="240" w:lineRule="auto"/>
              <w:ind w:left="82"/>
              <w:jc w:val="center"/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</w:pPr>
            <w:r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  <w:t>0</w:t>
            </w:r>
          </w:p>
        </w:tc>
      </w:tr>
      <w:tr w:rsidR="006214FB" w:rsidTr="00D2693D">
        <w:trPr>
          <w:trHeight w:val="418"/>
        </w:trPr>
        <w:tc>
          <w:tcPr>
            <w:tcW w:w="6319" w:type="dxa"/>
          </w:tcPr>
          <w:p w:rsidR="006214FB" w:rsidRPr="006214FB" w:rsidRDefault="006214FB" w:rsidP="006214FB">
            <w:pPr>
              <w:spacing w:line="360" w:lineRule="auto"/>
              <w:rPr>
                <w:rFonts w:ascii="Segoe UI" w:eastAsia="Times New Roman" w:hAnsi="Segoe UI" w:cs="Segoe UI"/>
                <w:b/>
                <w:color w:val="494949"/>
                <w:sz w:val="18"/>
                <w:szCs w:val="18"/>
                <w:lang w:eastAsia="sk-SK"/>
              </w:rPr>
            </w:pPr>
            <w:r w:rsidRPr="006214FB">
              <w:rPr>
                <w:rFonts w:ascii="Segoe UI" w:eastAsia="Times New Roman" w:hAnsi="Segoe UI" w:cs="Segoe UI"/>
                <w:b/>
                <w:color w:val="494949"/>
                <w:sz w:val="20"/>
                <w:szCs w:val="20"/>
                <w:lang w:eastAsia="sk-SK"/>
              </w:rPr>
              <w:t>Výdavky celkom za rok 2021</w:t>
            </w:r>
          </w:p>
        </w:tc>
        <w:tc>
          <w:tcPr>
            <w:tcW w:w="2906" w:type="dxa"/>
          </w:tcPr>
          <w:p w:rsidR="006214FB" w:rsidRPr="004E541B" w:rsidRDefault="00AA1B9B" w:rsidP="00BC0402">
            <w:pPr>
              <w:shd w:val="clear" w:color="auto" w:fill="FFFFFF"/>
              <w:spacing w:line="240" w:lineRule="auto"/>
              <w:ind w:left="82"/>
              <w:jc w:val="center"/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</w:pPr>
            <w:r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  <w:t>129 835,13</w:t>
            </w:r>
          </w:p>
        </w:tc>
      </w:tr>
      <w:tr w:rsidR="00007405" w:rsidTr="00D2693D">
        <w:trPr>
          <w:trHeight w:val="418"/>
        </w:trPr>
        <w:tc>
          <w:tcPr>
            <w:tcW w:w="6319" w:type="dxa"/>
          </w:tcPr>
          <w:p w:rsidR="00007405" w:rsidRPr="004E541B" w:rsidRDefault="00007405" w:rsidP="00007405">
            <w:pPr>
              <w:spacing w:line="360" w:lineRule="auto"/>
              <w:rPr>
                <w:rFonts w:ascii="Segoe UI" w:eastAsia="Times New Roman" w:hAnsi="Segoe UI" w:cs="Segoe UI"/>
                <w:color w:val="494949"/>
                <w:sz w:val="18"/>
                <w:szCs w:val="18"/>
                <w:lang w:eastAsia="sk-SK"/>
              </w:rPr>
            </w:pPr>
            <w:r w:rsidRPr="00644540">
              <w:rPr>
                <w:rFonts w:ascii="Segoe UI" w:eastAsia="Times New Roman" w:hAnsi="Segoe UI" w:cs="Segoe UI"/>
                <w:color w:val="494949"/>
                <w:sz w:val="20"/>
                <w:szCs w:val="20"/>
                <w:lang w:eastAsia="sk-SK"/>
              </w:rPr>
              <w:t>Kapacita denného stacionára</w:t>
            </w:r>
          </w:p>
        </w:tc>
        <w:tc>
          <w:tcPr>
            <w:tcW w:w="2906" w:type="dxa"/>
          </w:tcPr>
          <w:p w:rsidR="00007405" w:rsidRPr="004E541B" w:rsidRDefault="00007405" w:rsidP="00007405">
            <w:pPr>
              <w:shd w:val="clear" w:color="auto" w:fill="FFFFFF"/>
              <w:spacing w:line="240" w:lineRule="auto"/>
              <w:ind w:left="82"/>
              <w:jc w:val="center"/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</w:pPr>
            <w:r>
              <w:rPr>
                <w:rFonts w:ascii="Segoe UI" w:eastAsia="Times New Roman" w:hAnsi="Segoe UI" w:cs="Segoe UI"/>
                <w:color w:val="494949"/>
                <w:sz w:val="21"/>
                <w:szCs w:val="21"/>
                <w:lang w:eastAsia="sk-SK"/>
              </w:rPr>
              <w:t>20</w:t>
            </w:r>
          </w:p>
        </w:tc>
      </w:tr>
      <w:tr w:rsidR="00007405" w:rsidTr="00D2693D">
        <w:trPr>
          <w:trHeight w:val="418"/>
        </w:trPr>
        <w:tc>
          <w:tcPr>
            <w:tcW w:w="6319" w:type="dxa"/>
          </w:tcPr>
          <w:p w:rsidR="00007405" w:rsidRPr="004E541B" w:rsidRDefault="00007405" w:rsidP="00007405">
            <w:pPr>
              <w:spacing w:line="360" w:lineRule="auto"/>
              <w:rPr>
                <w:rFonts w:ascii="Segoe UI" w:eastAsia="Times New Roman" w:hAnsi="Segoe UI" w:cs="Segoe UI"/>
                <w:color w:val="494949"/>
                <w:sz w:val="18"/>
                <w:szCs w:val="18"/>
                <w:lang w:eastAsia="sk-SK"/>
              </w:rPr>
            </w:pPr>
            <w:r>
              <w:rPr>
                <w:rFonts w:ascii="Segoe UI" w:eastAsia="Times New Roman" w:hAnsi="Segoe UI" w:cs="Segoe UI"/>
                <w:color w:val="494949"/>
                <w:sz w:val="20"/>
                <w:szCs w:val="20"/>
                <w:lang w:eastAsia="sk-SK"/>
              </w:rPr>
              <w:t>Ekonomicky oprávnené náklady</w:t>
            </w:r>
            <w:r w:rsidRPr="00644540">
              <w:rPr>
                <w:rFonts w:ascii="Segoe UI" w:eastAsia="Times New Roman" w:hAnsi="Segoe UI" w:cs="Segoe UI"/>
                <w:color w:val="494949"/>
                <w:sz w:val="20"/>
                <w:szCs w:val="20"/>
                <w:lang w:eastAsia="sk-SK"/>
              </w:rPr>
              <w:t xml:space="preserve"> na 1 prijímateľa</w:t>
            </w:r>
          </w:p>
        </w:tc>
        <w:tc>
          <w:tcPr>
            <w:tcW w:w="2906" w:type="dxa"/>
          </w:tcPr>
          <w:p w:rsidR="00007405" w:rsidRPr="00E57EBC" w:rsidRDefault="00007405" w:rsidP="00007405">
            <w:pPr>
              <w:shd w:val="clear" w:color="auto" w:fill="FFFFFF"/>
              <w:spacing w:line="240" w:lineRule="auto"/>
              <w:ind w:left="82"/>
              <w:jc w:val="center"/>
              <w:rPr>
                <w:rFonts w:ascii="Segoe UI" w:eastAsia="Times New Roman" w:hAnsi="Segoe UI" w:cs="Segoe UI"/>
                <w:b/>
                <w:color w:val="494949"/>
                <w:sz w:val="21"/>
                <w:szCs w:val="21"/>
                <w:lang w:eastAsia="sk-SK"/>
              </w:rPr>
            </w:pPr>
            <w:r>
              <w:rPr>
                <w:rFonts w:ascii="Segoe UI" w:eastAsia="Times New Roman" w:hAnsi="Segoe UI" w:cs="Segoe UI"/>
                <w:b/>
                <w:color w:val="494949"/>
                <w:sz w:val="21"/>
                <w:szCs w:val="21"/>
                <w:lang w:eastAsia="sk-SK"/>
              </w:rPr>
              <w:t>540,98</w:t>
            </w:r>
          </w:p>
        </w:tc>
      </w:tr>
    </w:tbl>
    <w:p w:rsidR="00E543B2" w:rsidRDefault="00E543B2" w:rsidP="00D2693D"/>
    <w:p w:rsidR="0079487E" w:rsidRDefault="0079487E" w:rsidP="00D2693D"/>
    <w:p w:rsidR="0079487E" w:rsidRDefault="0079487E" w:rsidP="00D2693D"/>
    <w:p w:rsidR="0079487E" w:rsidRDefault="0079487E" w:rsidP="00D2693D">
      <w:r>
        <w:t>V Dolnom Kubíne, 28.2.2022</w:t>
      </w:r>
      <w:bookmarkStart w:id="0" w:name="_GoBack"/>
      <w:bookmarkEnd w:id="0"/>
    </w:p>
    <w:sectPr w:rsidR="007948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527" w:rsidRDefault="002A1527" w:rsidP="00D2693D">
      <w:pPr>
        <w:spacing w:line="240" w:lineRule="auto"/>
      </w:pPr>
      <w:r>
        <w:separator/>
      </w:r>
    </w:p>
  </w:endnote>
  <w:endnote w:type="continuationSeparator" w:id="0">
    <w:p w:rsidR="002A1527" w:rsidRDefault="002A1527" w:rsidP="00D26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527" w:rsidRDefault="002A1527" w:rsidP="00D2693D">
      <w:pPr>
        <w:spacing w:line="240" w:lineRule="auto"/>
      </w:pPr>
      <w:r>
        <w:separator/>
      </w:r>
    </w:p>
  </w:footnote>
  <w:footnote w:type="continuationSeparator" w:id="0">
    <w:p w:rsidR="002A1527" w:rsidRDefault="002A1527" w:rsidP="00D269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3D" w:rsidRPr="002E7944" w:rsidRDefault="00D2693D" w:rsidP="00D2693D">
    <w:pPr>
      <w:shd w:val="clear" w:color="auto" w:fill="FFFFFF"/>
      <w:spacing w:line="240" w:lineRule="exact"/>
      <w:ind w:left="4956"/>
      <w:outlineLvl w:val="0"/>
      <w:rPr>
        <w:rFonts w:ascii="Comic Sans MS" w:eastAsia="Times New Roman" w:hAnsi="Comic Sans MS"/>
        <w:b/>
        <w:bCs/>
        <w:color w:val="808080" w:themeColor="background1" w:themeShade="80"/>
        <w:sz w:val="20"/>
        <w:szCs w:val="20"/>
        <w:lang w:eastAsia="sk-SK"/>
      </w:rPr>
    </w:pPr>
    <w:r>
      <w:rPr>
        <w:rFonts w:ascii="Comic Sans MS" w:eastAsia="Times New Roman" w:hAnsi="Comic Sans MS"/>
        <w:lang w:eastAsia="sk-SK"/>
      </w:rPr>
      <w:tab/>
    </w:r>
    <w:r>
      <w:rPr>
        <w:rFonts w:ascii="Comic Sans MS" w:eastAsia="Times New Roman" w:hAnsi="Comic Sans MS"/>
        <w:color w:val="808080" w:themeColor="background1" w:themeShade="80"/>
        <w:sz w:val="20"/>
        <w:szCs w:val="20"/>
        <w:lang w:eastAsia="sk-SK"/>
      </w:rPr>
      <w:t xml:space="preserve">Agentúra </w:t>
    </w:r>
    <w:proofErr w:type="spellStart"/>
    <w:r>
      <w:rPr>
        <w:rFonts w:ascii="Comic Sans MS" w:eastAsia="Times New Roman" w:hAnsi="Comic Sans MS"/>
        <w:color w:val="808080" w:themeColor="background1" w:themeShade="80"/>
        <w:sz w:val="20"/>
        <w:szCs w:val="20"/>
        <w:lang w:eastAsia="sk-SK"/>
      </w:rPr>
      <w:t>FóRUM</w:t>
    </w:r>
    <w:proofErr w:type="spellEnd"/>
    <w:r>
      <w:rPr>
        <w:rFonts w:ascii="Comic Sans MS" w:eastAsia="Times New Roman" w:hAnsi="Comic Sans MS"/>
        <w:color w:val="808080" w:themeColor="background1" w:themeShade="80"/>
        <w:sz w:val="20"/>
        <w:szCs w:val="20"/>
        <w:lang w:eastAsia="sk-SK"/>
      </w:rPr>
      <w:t xml:space="preserve"> </w:t>
    </w:r>
    <w:proofErr w:type="spellStart"/>
    <w:r>
      <w:rPr>
        <w:rFonts w:ascii="Comic Sans MS" w:eastAsia="Times New Roman" w:hAnsi="Comic Sans MS"/>
        <w:color w:val="808080" w:themeColor="background1" w:themeShade="80"/>
        <w:sz w:val="20"/>
        <w:szCs w:val="20"/>
        <w:lang w:eastAsia="sk-SK"/>
      </w:rPr>
      <w:t>žIVOTA</w:t>
    </w:r>
    <w:proofErr w:type="spellEnd"/>
    <w:r w:rsidRPr="002E7944">
      <w:rPr>
        <w:noProof/>
        <w:color w:val="808080" w:themeColor="background1" w:themeShade="80"/>
        <w:lang w:eastAsia="sk-SK"/>
      </w:rPr>
      <w:drawing>
        <wp:anchor distT="0" distB="0" distL="114300" distR="114300" simplePos="0" relativeHeight="251659264" behindDoc="0" locked="1" layoutInCell="1" allowOverlap="1" wp14:anchorId="6D7832E4" wp14:editId="37453ABB">
          <wp:simplePos x="0" y="0"/>
          <wp:positionH relativeFrom="column">
            <wp:posOffset>3161665</wp:posOffset>
          </wp:positionH>
          <wp:positionV relativeFrom="paragraph">
            <wp:posOffset>-36195</wp:posOffset>
          </wp:positionV>
          <wp:extent cx="393065" cy="586105"/>
          <wp:effectExtent l="0" t="0" r="6985" b="4445"/>
          <wp:wrapNone/>
          <wp:docPr id="1" name="obrázek 2" descr="C:\Moje dokumenty\Agentúra\FZ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Moje dokumenty\Agentúra\FZ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693D" w:rsidRPr="002E7944" w:rsidRDefault="00D2693D" w:rsidP="00D2693D">
    <w:pPr>
      <w:shd w:val="clear" w:color="auto" w:fill="FFFFFF"/>
      <w:spacing w:line="240" w:lineRule="exact"/>
      <w:ind w:left="4248" w:firstLine="708"/>
      <w:outlineLvl w:val="0"/>
      <w:rPr>
        <w:rFonts w:ascii="Comic Sans MS" w:eastAsia="Times New Roman" w:hAnsi="Comic Sans MS"/>
        <w:b/>
        <w:bCs/>
        <w:color w:val="808080" w:themeColor="background1" w:themeShade="80"/>
        <w:sz w:val="20"/>
        <w:szCs w:val="20"/>
        <w:lang w:eastAsia="sk-SK"/>
      </w:rPr>
    </w:pPr>
    <w:r>
      <w:rPr>
        <w:rFonts w:ascii="Comic Sans MS" w:eastAsia="Times New Roman" w:hAnsi="Comic Sans MS"/>
        <w:color w:val="808080" w:themeColor="background1" w:themeShade="80"/>
        <w:sz w:val="20"/>
        <w:szCs w:val="20"/>
        <w:lang w:eastAsia="sk-SK"/>
      </w:rPr>
      <w:tab/>
    </w:r>
    <w:r w:rsidRPr="002E7944">
      <w:rPr>
        <w:rFonts w:ascii="Comic Sans MS" w:eastAsia="Times New Roman" w:hAnsi="Comic Sans MS"/>
        <w:color w:val="808080" w:themeColor="background1" w:themeShade="80"/>
        <w:sz w:val="20"/>
        <w:szCs w:val="20"/>
        <w:lang w:eastAsia="sk-SK"/>
      </w:rPr>
      <w:t>Hviezdoslavovo námestie 2190</w:t>
    </w:r>
  </w:p>
  <w:p w:rsidR="00D2693D" w:rsidRDefault="00D2693D" w:rsidP="00D2693D">
    <w:pPr>
      <w:shd w:val="clear" w:color="auto" w:fill="FFFFFF"/>
      <w:spacing w:line="240" w:lineRule="exact"/>
      <w:ind w:left="4248" w:firstLine="708"/>
      <w:outlineLvl w:val="0"/>
      <w:rPr>
        <w:rFonts w:ascii="Comic Sans MS" w:eastAsia="Times New Roman" w:hAnsi="Comic Sans MS"/>
        <w:color w:val="808080" w:themeColor="background1" w:themeShade="80"/>
        <w:sz w:val="20"/>
        <w:szCs w:val="20"/>
        <w:lang w:eastAsia="sk-SK"/>
      </w:rPr>
    </w:pPr>
    <w:r>
      <w:rPr>
        <w:rFonts w:ascii="Comic Sans MS" w:eastAsia="Times New Roman" w:hAnsi="Comic Sans MS"/>
        <w:color w:val="808080" w:themeColor="background1" w:themeShade="80"/>
        <w:sz w:val="20"/>
        <w:szCs w:val="20"/>
        <w:lang w:eastAsia="sk-SK"/>
      </w:rPr>
      <w:tab/>
    </w:r>
    <w:r w:rsidRPr="002E7944">
      <w:rPr>
        <w:rFonts w:ascii="Comic Sans MS" w:eastAsia="Times New Roman" w:hAnsi="Comic Sans MS"/>
        <w:color w:val="808080" w:themeColor="background1" w:themeShade="80"/>
        <w:sz w:val="20"/>
        <w:szCs w:val="20"/>
        <w:lang w:eastAsia="sk-SK"/>
      </w:rPr>
      <w:t>026 01 Dolný Kubín</w:t>
    </w:r>
  </w:p>
  <w:p w:rsidR="00D2693D" w:rsidRDefault="00D2693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1B"/>
    <w:rsid w:val="00007405"/>
    <w:rsid w:val="002A1527"/>
    <w:rsid w:val="004E541B"/>
    <w:rsid w:val="006214FB"/>
    <w:rsid w:val="00644540"/>
    <w:rsid w:val="006612E6"/>
    <w:rsid w:val="00713A50"/>
    <w:rsid w:val="0079487E"/>
    <w:rsid w:val="00986935"/>
    <w:rsid w:val="009C14FA"/>
    <w:rsid w:val="00AA1B9B"/>
    <w:rsid w:val="00BC0402"/>
    <w:rsid w:val="00D2693D"/>
    <w:rsid w:val="00E543B2"/>
    <w:rsid w:val="00E569E2"/>
    <w:rsid w:val="00E57EBC"/>
    <w:rsid w:val="00F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35E21-ADFC-4DFA-AF8F-8475570E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E541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2693D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93D"/>
  </w:style>
  <w:style w:type="paragraph" w:styleId="Pta">
    <w:name w:val="footer"/>
    <w:basedOn w:val="Normlny"/>
    <w:link w:val="PtaChar"/>
    <w:uiPriority w:val="99"/>
    <w:unhideWhenUsed/>
    <w:rsid w:val="00D2693D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5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9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2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6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0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6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7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1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4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9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0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08/448/202201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DELL</cp:lastModifiedBy>
  <cp:revision>3</cp:revision>
  <dcterms:created xsi:type="dcterms:W3CDTF">2022-05-02T10:04:00Z</dcterms:created>
  <dcterms:modified xsi:type="dcterms:W3CDTF">2022-05-02T10:06:00Z</dcterms:modified>
</cp:coreProperties>
</file>